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rFonts w:ascii="TeXGyreAdventor" w:cs="TeXGyreAdventor" w:eastAsia="TeXGyreAdventor" w:hAnsi="TeXGyreAdventor"/>
          <w:color w:val="000000"/>
          <w:sz w:val="48"/>
          <w:szCs w:val="48"/>
        </w:rPr>
      </w:pPr>
      <w:r w:rsidDel="00000000" w:rsidR="00000000" w:rsidRPr="00000000">
        <w:rPr>
          <w:rFonts w:ascii="TeXGyreAdventor" w:cs="TeXGyreAdventor" w:eastAsia="TeXGyreAdventor" w:hAnsi="TeXGyreAdventor"/>
          <w:color w:val="000000"/>
          <w:sz w:val="48"/>
          <w:szCs w:val="48"/>
          <w:rtl w:val="0"/>
        </w:rPr>
        <w:t xml:space="preserve">Tisková zpráva 4/2019</w:t>
      </w:r>
    </w:p>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before="720" w:line="240" w:lineRule="auto"/>
        <w:rPr>
          <w:rFonts w:ascii="TeXGyreAdventor" w:cs="TeXGyreAdventor" w:eastAsia="TeXGyreAdventor" w:hAnsi="TeXGyreAdventor"/>
          <w:color w:val="000000"/>
          <w:sz w:val="24"/>
          <w:szCs w:val="24"/>
        </w:rPr>
      </w:pPr>
      <w:r w:rsidDel="00000000" w:rsidR="00000000" w:rsidRPr="00000000">
        <w:rPr>
          <w:rFonts w:ascii="TeXGyreAdventor" w:cs="TeXGyreAdventor" w:eastAsia="TeXGyreAdventor" w:hAnsi="TeXGyreAdventor"/>
          <w:color w:val="000000"/>
          <w:sz w:val="24"/>
          <w:szCs w:val="24"/>
          <w:rtl w:val="0"/>
        </w:rPr>
        <w:t xml:space="preserve">21. února 2019</w:t>
      </w:r>
      <w:r w:rsidDel="00000000" w:rsidR="00000000" w:rsidRPr="00000000">
        <w:rPr>
          <w:rFonts w:ascii="TeXGyreAdventor" w:cs="TeXGyreAdventor" w:eastAsia="TeXGyreAdventor" w:hAnsi="TeXGyreAdventor"/>
          <w:b w:val="1"/>
          <w:color w:val="000000"/>
          <w:sz w:val="24"/>
          <w:szCs w:val="24"/>
          <w:rtl w:val="0"/>
        </w:rPr>
        <w:t xml:space="preserve">,</w:t>
      </w:r>
      <w:r w:rsidDel="00000000" w:rsidR="00000000" w:rsidRPr="00000000">
        <w:rPr>
          <w:rFonts w:ascii="TeXGyreAdventor" w:cs="TeXGyreAdventor" w:eastAsia="TeXGyreAdventor" w:hAnsi="TeXGyreAdventor"/>
          <w:color w:val="000000"/>
          <w:sz w:val="24"/>
          <w:szCs w:val="24"/>
          <w:rtl w:val="0"/>
        </w:rPr>
        <w:t xml:space="preserve"> Liberec</w:t>
      </w:r>
    </w:p>
    <w:p w:rsidR="00000000" w:rsidDel="00000000" w:rsidP="00000000" w:rsidRDefault="00000000" w:rsidRPr="00000000" w14:paraId="00000002">
      <w:pPr>
        <w:pStyle w:val="Heading1"/>
        <w:rPr>
          <w:rFonts w:ascii="TeXGyreAdventor" w:cs="TeXGyreAdventor" w:eastAsia="TeXGyreAdventor" w:hAnsi="TeXGyreAdventor"/>
          <w:sz w:val="28"/>
          <w:szCs w:val="28"/>
        </w:rPr>
      </w:pPr>
      <w:r w:rsidDel="00000000" w:rsidR="00000000" w:rsidRPr="00000000">
        <w:rPr>
          <w:rtl w:val="0"/>
        </w:rPr>
      </w:r>
    </w:p>
    <w:p w:rsidR="00000000" w:rsidDel="00000000" w:rsidP="00000000" w:rsidRDefault="00000000" w:rsidRPr="00000000" w14:paraId="00000003">
      <w:pPr>
        <w:pStyle w:val="Heading1"/>
        <w:spacing w:after="240" w:lineRule="auto"/>
        <w:rPr>
          <w:rFonts w:ascii="TeXGyreAdventor" w:cs="TeXGyreAdventor" w:eastAsia="TeXGyreAdventor" w:hAnsi="TeXGyreAdventor"/>
          <w:sz w:val="28"/>
          <w:szCs w:val="28"/>
        </w:rPr>
      </w:pPr>
      <w:r w:rsidDel="00000000" w:rsidR="00000000" w:rsidRPr="00000000">
        <w:rPr>
          <w:rFonts w:ascii="TeXGyreAdventor" w:cs="TeXGyreAdventor" w:eastAsia="TeXGyreAdventor" w:hAnsi="TeXGyreAdventor"/>
          <w:sz w:val="28"/>
          <w:szCs w:val="28"/>
          <w:rtl w:val="0"/>
        </w:rPr>
        <w:t xml:space="preserve">Nadace EURONISA rozdělila v České Lípě 10 tisíc </w:t>
      </w:r>
    </w:p>
    <w:p w:rsidR="00000000" w:rsidDel="00000000" w:rsidP="00000000" w:rsidRDefault="00000000" w:rsidRPr="00000000" w14:paraId="00000004">
      <w:pPr>
        <w:pStyle w:val="Heading1"/>
        <w:spacing w:after="240" w:lineRule="auto"/>
        <w:rPr>
          <w:rFonts w:ascii="Arial" w:cs="Arial" w:eastAsia="Arial" w:hAnsi="Arial"/>
          <w:color w:val="666666"/>
          <w:sz w:val="21"/>
          <w:szCs w:val="21"/>
          <w:highlight w:val="white"/>
        </w:rPr>
      </w:pPr>
      <w:r w:rsidDel="00000000" w:rsidR="00000000" w:rsidRPr="00000000">
        <w:rPr>
          <w:rFonts w:ascii="Arial" w:cs="Arial" w:eastAsia="Arial" w:hAnsi="Arial"/>
          <w:color w:val="666666"/>
          <w:sz w:val="21"/>
          <w:szCs w:val="21"/>
          <w:highlight w:val="white"/>
          <w:rtl w:val="0"/>
        </w:rPr>
        <w:t xml:space="preserve">Za přítomnosti starostky města České Lípy Jitky Volfové předala Nadace EURONISA šeky v celkové hodnotě 10 tisíc korun dvěma neziskovým organizacím působícím v České Lípě...</w:t>
      </w:r>
    </w:p>
    <w:p w:rsidR="00000000" w:rsidDel="00000000" w:rsidP="00000000" w:rsidRDefault="00000000" w:rsidRPr="00000000" w14:paraId="00000005">
      <w:pPr>
        <w:pStyle w:val="Heading1"/>
        <w:keepNext w:val="1"/>
        <w:keepLines w:val="1"/>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sz w:val="22"/>
          <w:szCs w:val="22"/>
        </w:rPr>
      </w:pPr>
      <w:bookmarkStart w:colFirst="0" w:colLast="0" w:name="_bjcs195bplta" w:id="0"/>
      <w:bookmarkEnd w:id="0"/>
      <w:r w:rsidDel="00000000" w:rsidR="00000000" w:rsidRPr="00000000">
        <w:rPr>
          <w:sz w:val="22"/>
          <w:szCs w:val="22"/>
          <w:rtl w:val="0"/>
        </w:rPr>
        <w:t xml:space="preserve">Stalo se tak ve čtvrtek 21. února 2019 v 10 hodin na Městském úřadu České Lípy. První šek byl předán organizaci Sjednocená organizace nevidomých a slabozrakých ČR, z.s. na nákup pomůcek sloužících nevidomým vést plnohodnotný život. Z rukou paní starostky jej převzala předsedkyně Jana Řehořková spolu s vedoucí pracoviště Oblastní odbočky SONS ČR, z.s. </w:t>
      </w:r>
      <w:r w:rsidDel="00000000" w:rsidR="00000000" w:rsidRPr="00000000">
        <w:rPr>
          <w:rFonts w:ascii="Arial" w:cs="Arial" w:eastAsia="Arial" w:hAnsi="Arial"/>
          <w:sz w:val="20"/>
          <w:szCs w:val="20"/>
          <w:highlight w:val="white"/>
          <w:rtl w:val="0"/>
        </w:rPr>
        <w:t xml:space="preserve">Ludmilou Chalupovou, která ji doprovázela</w:t>
      </w:r>
      <w:r w:rsidDel="00000000" w:rsidR="00000000" w:rsidRPr="00000000">
        <w:rPr>
          <w:sz w:val="22"/>
          <w:szCs w:val="22"/>
          <w:rtl w:val="0"/>
        </w:rPr>
        <w:t xml:space="preserve">.  Ty mimo jiné hovořily o konkrétních pomůckách, které za příspěvek pořídí a které v běžném životě nevidomých či slabozrakých velmi pomáhají. Například to jsou dymokleště, které se používají k výrobě štítků na popisování předmětů v domácnosti, indikátor hladiny s vibrací, zvukem a magnetem pro bezpečné nalévání tekutin apod. Druhý šek obdržela organizace Denní a pobytové sociální služby, p.o. na zakoupení komunikační pomůcky pro osoby s těžkým kombinovaným postižením a poruchami autistického spektra. Za tuto organizaci šek z rukou paní starostky převzala vedoucí Denního stacionáře Česká Lípa Eliška Šťastná Kysilková</w:t>
      </w:r>
      <w:r w:rsidDel="00000000" w:rsidR="00000000" w:rsidRPr="00000000">
        <w:rPr>
          <w:sz w:val="22"/>
          <w:szCs w:val="22"/>
          <w:rtl w:val="0"/>
        </w:rPr>
        <w:t xml:space="preserve">, která zmínila důležitost komunikace s klienty. “Prostřednictvím tzv. komunikátoru, který se skládá ze širokého spektra obrázků a zvuků, budou moci těžce postižení vyjádřit své pocity, přání a potřeby,” uvedla. Poté ředitel Nadace EURONISA Petr Dušák poděkoval všem partnerům, kteří se podíleli ať už finančně či materiálně na uskutečnění celé sbírky. Za partnery projektu se slavnostního předání šeků zúčastnil Roman Kozák, ředitel Jizerských pekáren spol. s r.o. Velký dík pana Dušáka zvláště směřoval školám, ze kterých pocházeli dobrovolníci do sbírky, i dobrovolníkům samotným, kteří se na předávání dostavili v hojné míře, a bez kterých by se sbírka nemohla uskutečnit. V České Lípě to byla Obchodní akademie Česká Lípa a Gymnázium Česká Lípa. A poslední dík patřil všem českolipským dárcům, kteří přispěli do kasiček sbírky.</w:t>
      </w:r>
    </w:p>
    <w:p w:rsidR="00000000" w:rsidDel="00000000" w:rsidP="00000000" w:rsidRDefault="00000000" w:rsidRPr="00000000" w14:paraId="00000006">
      <w:pPr>
        <w:rPr>
          <w:rFonts w:ascii="Calibri" w:cs="Calibri" w:eastAsia="Calibri" w:hAnsi="Calibri"/>
          <w:b w:val="1"/>
          <w:color w:val="352f25"/>
          <w:sz w:val="22"/>
          <w:szCs w:val="22"/>
        </w:rPr>
      </w:pPr>
      <w:r w:rsidDel="00000000" w:rsidR="00000000" w:rsidRPr="00000000">
        <w:rPr>
          <w:rFonts w:ascii="Calibri" w:cs="Calibri" w:eastAsia="Calibri" w:hAnsi="Calibri"/>
          <w:b w:val="1"/>
          <w:color w:val="352f25"/>
          <w:sz w:val="22"/>
          <w:szCs w:val="22"/>
          <w:rtl w:val="0"/>
        </w:rPr>
        <w:t xml:space="preserve">Nadace EURONISA v prosinci 2018 ukončila 16. ročník sbírky “Pozvedněte slabé!”. V něm se podařilo vybrat celkem necelých 129 tisíc korun. Tento ročník byl uspořádán v 5 městech Euroregionu Nisa a tam bude výše zmíněná částka rozdělena mezi celkem 10 neziskových organizací. Smyslem této sbírky je pomoci získat místním neziskovým organizacím prostředky na svoji činnost.</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b w:val="1"/>
          <w:color w:val="352f25"/>
          <w:sz w:val="22"/>
          <w:szCs w:val="22"/>
        </w:rPr>
      </w:pPr>
      <w:r w:rsidDel="00000000" w:rsidR="00000000" w:rsidRPr="00000000">
        <w:rPr>
          <w:rFonts w:ascii="Calibri" w:cs="Calibri" w:eastAsia="Calibri" w:hAnsi="Calibri"/>
          <w:b w:val="1"/>
          <w:color w:val="352f25"/>
          <w:sz w:val="22"/>
          <w:szCs w:val="22"/>
          <w:rtl w:val="0"/>
        </w:rPr>
        <w:t xml:space="preserve">Významnými partnery celého projektu jsou, UniCredit Bank a.s., Liberecký kraj, OC FORUM, Jizerské pekárny spol. s r.o., COPIA Liberec spol. s r.o., Pytloun Grand Hotel**** Imperial, Kancl.cz, ČSOB a.s. a Václava Appeltauerová – pojišťovací makléř.</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TeXGyreAdventor" w:cs="TeXGyreAdventor" w:eastAsia="TeXGyreAdventor" w:hAnsi="TeXGyreAdventor"/>
          <w:color w:val="ff0000"/>
          <w:sz w:val="22"/>
          <w:szCs w:val="22"/>
        </w:rPr>
      </w:pPr>
      <w:r w:rsidDel="00000000" w:rsidR="00000000" w:rsidRPr="00000000">
        <w:rPr>
          <w:rFonts w:ascii="Calibri" w:cs="Calibri" w:eastAsia="Calibri" w:hAnsi="Calibri"/>
          <w:b w:val="1"/>
          <w:color w:val="352f25"/>
          <w:sz w:val="22"/>
          <w:szCs w:val="22"/>
          <w:rtl w:val="0"/>
        </w:rPr>
        <w:t xml:space="preserve">Mediálními partnery jsou Radio Contact Liberec a Český rozhlas Liberec.</w:t>
      </w:r>
      <w:r w:rsidDel="00000000" w:rsidR="00000000" w:rsidRPr="00000000">
        <w:rPr>
          <w:rtl w:val="0"/>
        </w:rPr>
      </w:r>
    </w:p>
    <w:p w:rsidR="00000000" w:rsidDel="00000000" w:rsidP="00000000" w:rsidRDefault="00000000" w:rsidRPr="00000000" w14:paraId="00000009">
      <w:pPr>
        <w:spacing w:after="40" w:lineRule="auto"/>
        <w:jc w:val="both"/>
        <w:rPr>
          <w:rFonts w:ascii="TeXGyreAdventor" w:cs="TeXGyreAdventor" w:eastAsia="TeXGyreAdventor" w:hAnsi="TeXGyreAdventor"/>
          <w:b w:val="1"/>
          <w:color w:val="000000"/>
          <w:sz w:val="16"/>
          <w:szCs w:val="16"/>
          <w:u w:val="single"/>
        </w:rPr>
      </w:pPr>
      <w:r w:rsidDel="00000000" w:rsidR="00000000" w:rsidRPr="00000000">
        <w:rPr>
          <w:rFonts w:ascii="TeXGyreAdventor" w:cs="TeXGyreAdventor" w:eastAsia="TeXGyreAdventor" w:hAnsi="TeXGyreAdventor"/>
          <w:b w:val="1"/>
          <w:color w:val="000000"/>
          <w:sz w:val="16"/>
          <w:szCs w:val="16"/>
          <w:u w:val="single"/>
          <w:rtl w:val="0"/>
        </w:rPr>
        <w:t xml:space="preserve">Detailní informace o sbírkách a podpořených organizacích v jednotlivých městech</w:t>
      </w:r>
    </w:p>
    <w:p w:rsidR="00000000" w:rsidDel="00000000" w:rsidP="00000000" w:rsidRDefault="00000000" w:rsidRPr="00000000" w14:paraId="0000000A">
      <w:pPr>
        <w:spacing w:after="0" w:before="120" w:lineRule="auto"/>
        <w:jc w:val="both"/>
        <w:rPr>
          <w:rFonts w:ascii="TeXGyreAdventor" w:cs="TeXGyreAdventor" w:eastAsia="TeXGyreAdventor" w:hAnsi="TeXGyreAdventor"/>
          <w:color w:val="000000"/>
          <w:sz w:val="16"/>
          <w:szCs w:val="16"/>
          <w:u w:val="single"/>
        </w:rPr>
      </w:pPr>
      <w:r w:rsidDel="00000000" w:rsidR="00000000" w:rsidRPr="00000000">
        <w:rPr>
          <w:rFonts w:ascii="TeXGyreAdventor" w:cs="TeXGyreAdventor" w:eastAsia="TeXGyreAdventor" w:hAnsi="TeXGyreAdventor"/>
          <w:b w:val="1"/>
          <w:color w:val="000000"/>
          <w:sz w:val="16"/>
          <w:szCs w:val="16"/>
          <w:rtl w:val="0"/>
        </w:rPr>
        <w:t xml:space="preserve">Liberec - sbírku uskutečnila SPŠSE a VOŠ Liberec a Křesťanská ZŠ a MŠ J. A. Komenského a podpořeny budou::</w:t>
      </w:r>
      <w:r w:rsidDel="00000000" w:rsidR="00000000" w:rsidRPr="00000000">
        <w:rPr>
          <w:rtl w:val="0"/>
        </w:rPr>
      </w:r>
    </w:p>
    <w:p w:rsidR="00000000" w:rsidDel="00000000" w:rsidP="00000000" w:rsidRDefault="00000000" w:rsidRPr="00000000" w14:paraId="0000000B">
      <w:pPr>
        <w:spacing w:after="0" w:lineRule="auto"/>
        <w:jc w:val="both"/>
        <w:rPr>
          <w:rFonts w:ascii="TeXGyreAdventor" w:cs="TeXGyreAdventor" w:eastAsia="TeXGyreAdventor" w:hAnsi="TeXGyreAdventor"/>
          <w:i w:val="1"/>
          <w:color w:val="000000"/>
          <w:sz w:val="16"/>
          <w:szCs w:val="16"/>
        </w:rPr>
      </w:pPr>
      <w:r w:rsidDel="00000000" w:rsidR="00000000" w:rsidRPr="00000000">
        <w:rPr>
          <w:rFonts w:ascii="TeXGyreAdventor" w:cs="TeXGyreAdventor" w:eastAsia="TeXGyreAdventor" w:hAnsi="TeXGyreAdventor"/>
          <w:i w:val="1"/>
          <w:color w:val="000000"/>
          <w:sz w:val="16"/>
          <w:szCs w:val="16"/>
          <w:rtl w:val="0"/>
        </w:rPr>
        <w:t xml:space="preserve">REVA, o.p.s. – na osobní asistenci lidem trpícím Alzheimerovou nemocí a osaměle žijícím seniorům</w:t>
      </w:r>
    </w:p>
    <w:p w:rsidR="00000000" w:rsidDel="00000000" w:rsidP="00000000" w:rsidRDefault="00000000" w:rsidRPr="00000000" w14:paraId="0000000C">
      <w:pPr>
        <w:spacing w:after="0" w:lineRule="auto"/>
        <w:jc w:val="both"/>
        <w:rPr>
          <w:rFonts w:ascii="TeXGyreAdventor" w:cs="TeXGyreAdventor" w:eastAsia="TeXGyreAdventor" w:hAnsi="TeXGyreAdventor"/>
          <w:i w:val="1"/>
          <w:color w:val="000000"/>
          <w:sz w:val="16"/>
          <w:szCs w:val="16"/>
        </w:rPr>
      </w:pPr>
      <w:r w:rsidDel="00000000" w:rsidR="00000000" w:rsidRPr="00000000">
        <w:rPr>
          <w:rFonts w:ascii="TeXGyreAdventor" w:cs="TeXGyreAdventor" w:eastAsia="TeXGyreAdventor" w:hAnsi="TeXGyreAdventor"/>
          <w:i w:val="1"/>
          <w:color w:val="000000"/>
          <w:sz w:val="16"/>
          <w:szCs w:val="16"/>
          <w:rtl w:val="0"/>
        </w:rPr>
        <w:t xml:space="preserve">Centrum LIRA, z.ú. – na terapeutické aktivity určené rodinám s dětmi trpícími autismem</w:t>
      </w:r>
    </w:p>
    <w:p w:rsidR="00000000" w:rsidDel="00000000" w:rsidP="00000000" w:rsidRDefault="00000000" w:rsidRPr="00000000" w14:paraId="0000000D">
      <w:pPr>
        <w:spacing w:after="0" w:before="120" w:lineRule="auto"/>
        <w:jc w:val="both"/>
        <w:rPr>
          <w:rFonts w:ascii="TeXGyreAdventor" w:cs="TeXGyreAdventor" w:eastAsia="TeXGyreAdventor" w:hAnsi="TeXGyreAdventor"/>
          <w:b w:val="1"/>
          <w:color w:val="000000"/>
          <w:sz w:val="16"/>
          <w:szCs w:val="16"/>
        </w:rPr>
      </w:pPr>
      <w:r w:rsidDel="00000000" w:rsidR="00000000" w:rsidRPr="00000000">
        <w:rPr>
          <w:rFonts w:ascii="TeXGyreAdventor" w:cs="TeXGyreAdventor" w:eastAsia="TeXGyreAdventor" w:hAnsi="TeXGyreAdventor"/>
          <w:b w:val="1"/>
          <w:color w:val="000000"/>
          <w:sz w:val="16"/>
          <w:szCs w:val="16"/>
          <w:rtl w:val="0"/>
        </w:rPr>
        <w:t xml:space="preserve">Jablonec n. N. - sbírku uskutečnila SUPŠ a VOŠ Jablonec n. N. a Gymnázium U Balvanu a podpořeny byly:</w:t>
      </w:r>
    </w:p>
    <w:p w:rsidR="00000000" w:rsidDel="00000000" w:rsidP="00000000" w:rsidRDefault="00000000" w:rsidRPr="00000000" w14:paraId="0000000E">
      <w:pPr>
        <w:spacing w:after="0" w:lineRule="auto"/>
        <w:jc w:val="both"/>
        <w:rPr>
          <w:rFonts w:ascii="TeXGyreAdventor" w:cs="TeXGyreAdventor" w:eastAsia="TeXGyreAdventor" w:hAnsi="TeXGyreAdventor"/>
          <w:i w:val="1"/>
          <w:color w:val="000000"/>
          <w:sz w:val="16"/>
          <w:szCs w:val="16"/>
        </w:rPr>
      </w:pPr>
      <w:r w:rsidDel="00000000" w:rsidR="00000000" w:rsidRPr="00000000">
        <w:rPr>
          <w:rFonts w:ascii="TeXGyreAdventor" w:cs="TeXGyreAdventor" w:eastAsia="TeXGyreAdventor" w:hAnsi="TeXGyreAdventor"/>
          <w:i w:val="1"/>
          <w:color w:val="000000"/>
          <w:sz w:val="16"/>
          <w:szCs w:val="16"/>
          <w:rtl w:val="0"/>
        </w:rPr>
        <w:t xml:space="preserve">ROSKA Jablonec, z.s. – na zajištění hipoterapie pomáhající imobilním lidem trpícím roztroušenou sklerózou </w:t>
      </w:r>
    </w:p>
    <w:p w:rsidR="00000000" w:rsidDel="00000000" w:rsidP="00000000" w:rsidRDefault="00000000" w:rsidRPr="00000000" w14:paraId="0000000F">
      <w:pPr>
        <w:spacing w:after="0" w:lineRule="auto"/>
        <w:jc w:val="both"/>
        <w:rPr>
          <w:rFonts w:ascii="TeXGyreAdventor" w:cs="TeXGyreAdventor" w:eastAsia="TeXGyreAdventor" w:hAnsi="TeXGyreAdventor"/>
          <w:i w:val="1"/>
          <w:color w:val="000000"/>
          <w:sz w:val="16"/>
          <w:szCs w:val="16"/>
        </w:rPr>
      </w:pPr>
      <w:r w:rsidDel="00000000" w:rsidR="00000000" w:rsidRPr="00000000">
        <w:rPr>
          <w:rFonts w:ascii="TeXGyreAdventor" w:cs="TeXGyreAdventor" w:eastAsia="TeXGyreAdventor" w:hAnsi="TeXGyreAdventor"/>
          <w:i w:val="1"/>
          <w:color w:val="000000"/>
          <w:sz w:val="16"/>
          <w:szCs w:val="16"/>
          <w:rtl w:val="0"/>
        </w:rPr>
        <w:t xml:space="preserve">Společnost pro podporu lidí s mentálním postižením v ČR, z.s. – na aktivity sloužící rozvoji osobnosti mentálně postižených</w:t>
      </w:r>
    </w:p>
    <w:p w:rsidR="00000000" w:rsidDel="00000000" w:rsidP="00000000" w:rsidRDefault="00000000" w:rsidRPr="00000000" w14:paraId="00000010">
      <w:pPr>
        <w:spacing w:after="0" w:before="120" w:lineRule="auto"/>
        <w:jc w:val="both"/>
        <w:rPr>
          <w:rFonts w:ascii="TeXGyreAdventor" w:cs="TeXGyreAdventor" w:eastAsia="TeXGyreAdventor" w:hAnsi="TeXGyreAdventor"/>
          <w:b w:val="1"/>
          <w:color w:val="000000"/>
          <w:sz w:val="16"/>
          <w:szCs w:val="16"/>
        </w:rPr>
      </w:pPr>
      <w:r w:rsidDel="00000000" w:rsidR="00000000" w:rsidRPr="00000000">
        <w:rPr>
          <w:rFonts w:ascii="TeXGyreAdventor" w:cs="TeXGyreAdventor" w:eastAsia="TeXGyreAdventor" w:hAnsi="TeXGyreAdventor"/>
          <w:b w:val="1"/>
          <w:color w:val="000000"/>
          <w:sz w:val="16"/>
          <w:szCs w:val="16"/>
          <w:rtl w:val="0"/>
        </w:rPr>
        <w:t xml:space="preserve">Česká Lípa - sbírku uskutečnila Obchodní akademie ČL a Gymnázium ČL a podpořeny byly:</w:t>
      </w:r>
    </w:p>
    <w:p w:rsidR="00000000" w:rsidDel="00000000" w:rsidP="00000000" w:rsidRDefault="00000000" w:rsidRPr="00000000" w14:paraId="00000011">
      <w:pPr>
        <w:spacing w:after="0" w:lineRule="auto"/>
        <w:jc w:val="both"/>
        <w:rPr>
          <w:rFonts w:ascii="TeXGyreAdventor" w:cs="TeXGyreAdventor" w:eastAsia="TeXGyreAdventor" w:hAnsi="TeXGyreAdventor"/>
          <w:i w:val="1"/>
          <w:color w:val="000000"/>
          <w:sz w:val="16"/>
          <w:szCs w:val="16"/>
        </w:rPr>
      </w:pPr>
      <w:r w:rsidDel="00000000" w:rsidR="00000000" w:rsidRPr="00000000">
        <w:rPr>
          <w:rFonts w:ascii="TeXGyreAdventor" w:cs="TeXGyreAdventor" w:eastAsia="TeXGyreAdventor" w:hAnsi="TeXGyreAdventor"/>
          <w:i w:val="1"/>
          <w:color w:val="000000"/>
          <w:sz w:val="16"/>
          <w:szCs w:val="16"/>
          <w:rtl w:val="0"/>
        </w:rPr>
        <w:t xml:space="preserve">Sjednocená organizace nevidomých a slabozrakých ČR, z.s. – na pomůcky sloužící nevidomým vést plnohodnotný život</w:t>
      </w:r>
    </w:p>
    <w:p w:rsidR="00000000" w:rsidDel="00000000" w:rsidP="00000000" w:rsidRDefault="00000000" w:rsidRPr="00000000" w14:paraId="00000012">
      <w:pPr>
        <w:spacing w:after="0" w:lineRule="auto"/>
        <w:jc w:val="both"/>
        <w:rPr>
          <w:rFonts w:ascii="TeXGyreAdventor" w:cs="TeXGyreAdventor" w:eastAsia="TeXGyreAdventor" w:hAnsi="TeXGyreAdventor"/>
          <w:i w:val="1"/>
          <w:color w:val="000000"/>
          <w:sz w:val="16"/>
          <w:szCs w:val="16"/>
        </w:rPr>
      </w:pPr>
      <w:r w:rsidDel="00000000" w:rsidR="00000000" w:rsidRPr="00000000">
        <w:rPr>
          <w:rFonts w:ascii="TeXGyreAdventor" w:cs="TeXGyreAdventor" w:eastAsia="TeXGyreAdventor" w:hAnsi="TeXGyreAdventor"/>
          <w:i w:val="1"/>
          <w:color w:val="000000"/>
          <w:sz w:val="16"/>
          <w:szCs w:val="16"/>
          <w:rtl w:val="0"/>
        </w:rPr>
        <w:t xml:space="preserve">Denní a pobytové sociální služby, p.o. - na zakoupení komunikační pomůcky pro osoby s těžkým kombinovaným postižením a poruchami autistického spektra</w:t>
      </w:r>
    </w:p>
    <w:p w:rsidR="00000000" w:rsidDel="00000000" w:rsidP="00000000" w:rsidRDefault="00000000" w:rsidRPr="00000000" w14:paraId="00000013">
      <w:pPr>
        <w:spacing w:after="0" w:before="120" w:lineRule="auto"/>
        <w:jc w:val="both"/>
        <w:rPr>
          <w:rFonts w:ascii="TeXGyreAdventor" w:cs="TeXGyreAdventor" w:eastAsia="TeXGyreAdventor" w:hAnsi="TeXGyreAdventor"/>
          <w:b w:val="1"/>
          <w:color w:val="000000"/>
          <w:sz w:val="16"/>
          <w:szCs w:val="16"/>
        </w:rPr>
      </w:pPr>
      <w:r w:rsidDel="00000000" w:rsidR="00000000" w:rsidRPr="00000000">
        <w:rPr>
          <w:rFonts w:ascii="TeXGyreAdventor" w:cs="TeXGyreAdventor" w:eastAsia="TeXGyreAdventor" w:hAnsi="TeXGyreAdventor"/>
          <w:b w:val="1"/>
          <w:color w:val="000000"/>
          <w:sz w:val="16"/>
          <w:szCs w:val="16"/>
          <w:rtl w:val="0"/>
        </w:rPr>
        <w:t xml:space="preserve">Turnov - sbírku uskutečnilo Gymnázium Turnov a SZŠ Turnov a podpořeny byly:</w:t>
      </w:r>
    </w:p>
    <w:p w:rsidR="00000000" w:rsidDel="00000000" w:rsidP="00000000" w:rsidRDefault="00000000" w:rsidRPr="00000000" w14:paraId="00000014">
      <w:pPr>
        <w:spacing w:after="0" w:lineRule="auto"/>
        <w:jc w:val="both"/>
        <w:rPr>
          <w:rFonts w:ascii="TeXGyreAdventor" w:cs="TeXGyreAdventor" w:eastAsia="TeXGyreAdventor" w:hAnsi="TeXGyreAdventor"/>
          <w:i w:val="1"/>
          <w:color w:val="000000"/>
          <w:sz w:val="16"/>
          <w:szCs w:val="16"/>
        </w:rPr>
      </w:pPr>
      <w:r w:rsidDel="00000000" w:rsidR="00000000" w:rsidRPr="00000000">
        <w:rPr>
          <w:rFonts w:ascii="TeXGyreAdventor" w:cs="TeXGyreAdventor" w:eastAsia="TeXGyreAdventor" w:hAnsi="TeXGyreAdventor"/>
          <w:i w:val="1"/>
          <w:color w:val="000000"/>
          <w:sz w:val="16"/>
          <w:szCs w:val="16"/>
          <w:rtl w:val="0"/>
        </w:rPr>
        <w:t xml:space="preserve">MŠ a ZŠ Sluníčko Turnov – na nákup nábytku upraveného potřebám dětí trpícím mentálním postižením či kombinovanými vadami</w:t>
      </w:r>
    </w:p>
    <w:p w:rsidR="00000000" w:rsidDel="00000000" w:rsidP="00000000" w:rsidRDefault="00000000" w:rsidRPr="00000000" w14:paraId="00000015">
      <w:pPr>
        <w:spacing w:after="0" w:lineRule="auto"/>
        <w:jc w:val="both"/>
        <w:rPr>
          <w:rFonts w:ascii="TeXGyreAdventor" w:cs="TeXGyreAdventor" w:eastAsia="TeXGyreAdventor" w:hAnsi="TeXGyreAdventor"/>
          <w:i w:val="1"/>
          <w:color w:val="000000"/>
          <w:sz w:val="16"/>
          <w:szCs w:val="16"/>
        </w:rPr>
      </w:pPr>
      <w:r w:rsidDel="00000000" w:rsidR="00000000" w:rsidRPr="00000000">
        <w:rPr>
          <w:rFonts w:ascii="TeXGyreAdventor" w:cs="TeXGyreAdventor" w:eastAsia="TeXGyreAdventor" w:hAnsi="TeXGyreAdventor"/>
          <w:i w:val="1"/>
          <w:color w:val="000000"/>
          <w:sz w:val="16"/>
          <w:szCs w:val="16"/>
          <w:rtl w:val="0"/>
        </w:rPr>
        <w:t xml:space="preserve">Slunce všem, z.s. – na nákup vybavení keramické dílny sloužící těžce mentálně postiženým s autismem</w:t>
      </w:r>
    </w:p>
    <w:p w:rsidR="00000000" w:rsidDel="00000000" w:rsidP="00000000" w:rsidRDefault="00000000" w:rsidRPr="00000000" w14:paraId="00000016">
      <w:pPr>
        <w:spacing w:after="0" w:before="120" w:line="240" w:lineRule="auto"/>
        <w:jc w:val="both"/>
        <w:rPr>
          <w:rFonts w:ascii="TeXGyreAdventor" w:cs="TeXGyreAdventor" w:eastAsia="TeXGyreAdventor" w:hAnsi="TeXGyreAdventor"/>
          <w:b w:val="1"/>
          <w:color w:val="000000"/>
          <w:sz w:val="16"/>
          <w:szCs w:val="16"/>
        </w:rPr>
      </w:pPr>
      <w:bookmarkStart w:colFirst="0" w:colLast="0" w:name="_30j0zll" w:id="1"/>
      <w:bookmarkEnd w:id="1"/>
      <w:r w:rsidDel="00000000" w:rsidR="00000000" w:rsidRPr="00000000">
        <w:rPr>
          <w:rFonts w:ascii="TeXGyreAdventor" w:cs="TeXGyreAdventor" w:eastAsia="TeXGyreAdventor" w:hAnsi="TeXGyreAdventor"/>
          <w:b w:val="1"/>
          <w:color w:val="000000"/>
          <w:sz w:val="16"/>
          <w:szCs w:val="16"/>
          <w:rtl w:val="0"/>
        </w:rPr>
        <w:t xml:space="preserve">Rumburk - sbírku uskutečnila SZŠ a Obchodní akademie a SOŠ Mediální grafiky a polygrafie a podpořeny byly:</w:t>
      </w:r>
    </w:p>
    <w:p w:rsidR="00000000" w:rsidDel="00000000" w:rsidP="00000000" w:rsidRDefault="00000000" w:rsidRPr="00000000" w14:paraId="00000017">
      <w:pPr>
        <w:spacing w:after="0" w:line="240" w:lineRule="auto"/>
        <w:jc w:val="both"/>
        <w:rPr>
          <w:rFonts w:ascii="TeXGyreAdventor" w:cs="TeXGyreAdventor" w:eastAsia="TeXGyreAdventor" w:hAnsi="TeXGyreAdventor"/>
          <w:i w:val="1"/>
          <w:color w:val="000000"/>
          <w:sz w:val="16"/>
          <w:szCs w:val="16"/>
        </w:rPr>
      </w:pPr>
      <w:r w:rsidDel="00000000" w:rsidR="00000000" w:rsidRPr="00000000">
        <w:rPr>
          <w:rFonts w:ascii="TeXGyreAdventor" w:cs="TeXGyreAdventor" w:eastAsia="TeXGyreAdventor" w:hAnsi="TeXGyreAdventor"/>
          <w:i w:val="1"/>
          <w:color w:val="000000"/>
          <w:sz w:val="16"/>
          <w:szCs w:val="16"/>
          <w:rtl w:val="0"/>
        </w:rPr>
        <w:t xml:space="preserve">Oblastní charita Rumburk – na projekt „CHCEME DOKÁZAT VÍC“ zaměřený na pomoc dětem ze sociálně slabých rodin</w:t>
      </w:r>
    </w:p>
    <w:p w:rsidR="00000000" w:rsidDel="00000000" w:rsidP="00000000" w:rsidRDefault="00000000" w:rsidRPr="00000000" w14:paraId="00000018">
      <w:pPr>
        <w:spacing w:after="0" w:lineRule="auto"/>
        <w:jc w:val="both"/>
        <w:rPr>
          <w:rFonts w:ascii="TeXGyreAdventor" w:cs="TeXGyreAdventor" w:eastAsia="TeXGyreAdventor" w:hAnsi="TeXGyreAdventor"/>
          <w:i w:val="1"/>
          <w:color w:val="000000"/>
          <w:sz w:val="16"/>
          <w:szCs w:val="16"/>
        </w:rPr>
      </w:pPr>
      <w:r w:rsidDel="00000000" w:rsidR="00000000" w:rsidRPr="00000000">
        <w:rPr>
          <w:rFonts w:ascii="TeXGyreAdventor" w:cs="TeXGyreAdventor" w:eastAsia="TeXGyreAdventor" w:hAnsi="TeXGyreAdventor"/>
          <w:i w:val="1"/>
          <w:color w:val="000000"/>
          <w:sz w:val="16"/>
          <w:szCs w:val="16"/>
          <w:rtl w:val="0"/>
        </w:rPr>
        <w:t xml:space="preserve">Rytmus D, o.p.s. - na zajištění hiporehabilitace pomáhající lidem s mentálním, smyslovým a fyzickým postižením</w:t>
      </w:r>
    </w:p>
    <w:p w:rsidR="00000000" w:rsidDel="00000000" w:rsidP="00000000" w:rsidRDefault="00000000" w:rsidRPr="00000000" w14:paraId="00000019">
      <w:pPr>
        <w:rPr>
          <w:rFonts w:ascii="TeXGyreAdventor" w:cs="TeXGyreAdventor" w:eastAsia="TeXGyreAdventor" w:hAnsi="TeXGyreAdventor"/>
          <w:i w:val="1"/>
          <w:color w:val="000000"/>
          <w:sz w:val="18"/>
          <w:szCs w:val="18"/>
        </w:rPr>
      </w:pPr>
      <w:r w:rsidDel="00000000" w:rsidR="00000000" w:rsidRPr="00000000">
        <w:rPr>
          <w:rtl w:val="0"/>
        </w:rPr>
      </w:r>
    </w:p>
    <w:p w:rsidR="00000000" w:rsidDel="00000000" w:rsidP="00000000" w:rsidRDefault="00000000" w:rsidRPr="00000000" w14:paraId="0000001A">
      <w:pPr>
        <w:rPr>
          <w:rFonts w:ascii="TeXGyreAdventor" w:cs="TeXGyreAdventor" w:eastAsia="TeXGyreAdventor" w:hAnsi="TeXGyreAdventor"/>
          <w:i w:val="1"/>
          <w:color w:val="000000"/>
          <w:sz w:val="18"/>
          <w:szCs w:val="18"/>
        </w:rPr>
      </w:pPr>
      <w:r w:rsidDel="00000000" w:rsidR="00000000" w:rsidRPr="00000000">
        <w:rPr>
          <w:rFonts w:ascii="TeXGyreAdventor" w:cs="TeXGyreAdventor" w:eastAsia="TeXGyreAdventor" w:hAnsi="TeXGyreAdventor"/>
          <w:i w:val="1"/>
          <w:color w:val="000000"/>
          <w:sz w:val="18"/>
          <w:szCs w:val="18"/>
          <w:rtl w:val="0"/>
        </w:rPr>
        <w:t xml:space="preserve">Nadace EURONISA založená v roce 1995 z podnětu libereckého sboru Jednoty bratrské od svého založení rozdělila potřebným přes 35 milionů korun a podpořila z nich 1651 projektů 323 organizací. Dlouholetým patronem Nadace EURONISA je herec Stanislav Zindulka. Finanční prostředky nadace získává nejen z výnosů nadačního jmění, ale i z darů firem a jednotlivců či z benefičních akcí.</w:t>
      </w:r>
      <w:r w:rsidDel="00000000" w:rsidR="00000000" w:rsidRPr="00000000">
        <w:rPr>
          <w:rFonts w:ascii="TeXGyreAdventor" w:cs="TeXGyreAdventor" w:eastAsia="TeXGyreAdventor" w:hAnsi="TeXGyreAdventor"/>
          <w:color w:val="000000"/>
          <w:sz w:val="18"/>
          <w:szCs w:val="18"/>
          <w:rtl w:val="0"/>
        </w:rPr>
        <w:t xml:space="preserve"> </w:t>
      </w:r>
      <w:r w:rsidDel="00000000" w:rsidR="00000000" w:rsidRPr="00000000">
        <w:rPr>
          <w:rFonts w:ascii="TeXGyreAdventor" w:cs="TeXGyreAdventor" w:eastAsia="TeXGyreAdventor" w:hAnsi="TeXGyreAdventor"/>
          <w:i w:val="1"/>
          <w:color w:val="000000"/>
          <w:sz w:val="18"/>
          <w:szCs w:val="18"/>
          <w:rtl w:val="0"/>
        </w:rPr>
        <w:t xml:space="preserve">Další aktivitou je veřejná sbírka „Pozvedněte slabé!“, jejímž patronem je herec Jiří Lábus.</w:t>
      </w:r>
      <w:r w:rsidDel="00000000" w:rsidR="00000000" w:rsidRPr="00000000">
        <w:rPr>
          <w:rFonts w:ascii="TeXGyreAdventor" w:cs="TeXGyreAdventor" w:eastAsia="TeXGyreAdventor" w:hAnsi="TeXGyreAdventor"/>
          <w:color w:val="000000"/>
          <w:sz w:val="18"/>
          <w:szCs w:val="18"/>
          <w:rtl w:val="0"/>
        </w:rPr>
        <w:t xml:space="preserve"> </w:t>
      </w:r>
      <w:r w:rsidDel="00000000" w:rsidR="00000000" w:rsidRPr="00000000">
        <w:rPr>
          <w:rFonts w:ascii="TeXGyreAdventor" w:cs="TeXGyreAdventor" w:eastAsia="TeXGyreAdventor" w:hAnsi="TeXGyreAdventor"/>
          <w:i w:val="1"/>
          <w:color w:val="000000"/>
          <w:sz w:val="18"/>
          <w:szCs w:val="18"/>
          <w:rtl w:val="0"/>
        </w:rPr>
        <w:t xml:space="preserve"> Na podporu potřebným v letošním roce nadace rozdělila mezi 21 organizací přesně 800.000 Kč. </w:t>
      </w:r>
    </w:p>
    <w:p w:rsidR="00000000" w:rsidDel="00000000" w:rsidP="00000000" w:rsidRDefault="00000000" w:rsidRPr="00000000" w14:paraId="0000001B">
      <w:pPr>
        <w:rPr>
          <w:rFonts w:ascii="TeXGyreAdventor" w:cs="TeXGyreAdventor" w:eastAsia="TeXGyreAdventor" w:hAnsi="TeXGyreAdventor"/>
          <w:i w:val="1"/>
          <w:color w:val="000000"/>
          <w:sz w:val="18"/>
          <w:szCs w:val="18"/>
        </w:rPr>
      </w:pPr>
      <w:r w:rsidDel="00000000" w:rsidR="00000000" w:rsidRPr="00000000">
        <w:rPr>
          <w:rtl w:val="0"/>
        </w:rPr>
      </w:r>
    </w:p>
    <w:sectPr>
      <w:pgSz w:h="16839" w:w="11907"/>
      <w:pgMar w:bottom="851" w:top="993" w:left="1134" w:right="1134" w:header="720"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TeXGyreAdvento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color w:val="4d4436"/>
        <w:lang w:val="cs-CZ"/>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240" w:lineRule="auto"/>
    </w:pPr>
    <w:rPr>
      <w:rFonts w:ascii="Calibri" w:cs="Calibri" w:eastAsia="Calibri" w:hAnsi="Calibri"/>
      <w:b w:val="1"/>
      <w:color w:val="352f2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027e7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720" w:line="240" w:lineRule="auto"/>
    </w:pPr>
    <w:rPr>
      <w:rFonts w:ascii="Calibri" w:cs="Calibri" w:eastAsia="Calibri" w:hAnsi="Calibri"/>
      <w:b w:val="1"/>
      <w:smallCaps w:val="1"/>
      <w:color w:val="027e70"/>
      <w:sz w:val="104"/>
      <w:szCs w:val="10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